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FF2CC"/>
          </w:tcPr>
          <w:p>
            <w:r>
              <w:rPr>
                <w:b/>
                <w:sz w:val="20"/>
              </w:rPr>
              <w:t>ATTORNEY REVIEW REQUIRED — This draft was generated by Reaction AI from public USPTO records. It is an attorney work aid, not legal advice, and it has not been reviewed by an attorney. A licensed attorney must review, revise, and approve every statement in this document before filing. Verify all factual assertions, exhibit citations, and deadlines against the record.</w:t>
            </w:r>
          </w:p>
        </w:tc>
      </w:tr>
    </w:tbl>
    <w:p/>
    <w:p>
      <w:pPr>
        <w:jc w:val="center"/>
      </w:pPr>
      <w:r>
        <w:rPr>
          <w:b/>
        </w:rPr>
        <w:t>IN THE UNITED STATES PATENT AND TRADEMARK OFFICE</w:t>
      </w:r>
    </w:p>
    <w:p>
      <w:r>
        <w:t>Mark: PARKER'S KITCHEN</w:t>
        <w:br/>
        <w:t>Serial No.: 99315257</w:t>
        <w:br/>
        <w:t>Office Action of: 2025-12-23 (NFIN20251223113220)</w:t>
        <w:br/>
      </w:r>
    </w:p>
    <w:p>
      <w:pPr>
        <w:jc w:val="center"/>
      </w:pPr>
      <w:r>
        <w:rPr>
          <w:b/>
        </w:rPr>
        <w:t>RESPONSE TO OFFICE ACTION</w:t>
      </w:r>
    </w:p>
    <w:p>
      <w:r>
        <w:t>Applicant responds to the Office Action identified above as follows.</w:t>
      </w:r>
    </w:p>
    <w:p>
      <w:pPr>
        <w:pStyle w:val="Heading1"/>
      </w:pPr>
      <w:r>
        <w:t>Section 2(e)(4) — Primarily Merely a Surname — Strategy Outline (Not Automated)</w:t>
      </w:r>
    </w:p>
    <w:p>
      <w:r>
        <w:rPr>
          <w:b w:val="0"/>
        </w:rPr>
        <w:t>The Office Action refuses registration under Section 2(e)(4) on the ground that the mark is primarily merely a surname.</w:t>
      </w:r>
    </w:p>
    <w:p>
      <w:r>
        <w:rPr>
          <w:b w:val="0"/>
        </w:rPr>
        <w:t>Standard strategic options on such a refusal: - Argue the term's primary significance to the purchasing public is not a surname (rareness of the surname; other recognized meanings; structure/appearance suggesting a coined term) under In re Benthin Mgmt. and TMEP §1211.01. - If the mark has been in substantially exclusive and continuous use for five or more years, consider a Section 2(f) acquired-distinctiveness claim. - Consider amendment to the Supplemental Register as a fallback.</w:t>
      </w:r>
    </w:p>
    <w:p>
      <w:r>
        <w:rPr>
          <w:b w:val="0"/>
        </w:rPr>
        <w:t>Drafting for this refusal type is not automated yet. The outline above identifies the issue and the standard strategic options; the substantive response must be prepared by the reviewing attorney.</w:t>
      </w:r>
    </w:p>
    <w:p>
      <w:pPr>
        <w:pStyle w:val="Heading1"/>
      </w:pPr>
      <w:r>
        <w:t>Section 2(f) Acquired Distinctiveness Advisory — Additional Issue Flagged (Not Automated)</w:t>
      </w:r>
    </w:p>
    <w:p>
      <w:r>
        <w:rPr>
          <w:b w:val="0"/>
        </w:rPr>
        <w:t>The Office Action also raises the following issue: Section 2(f) Acquired Distinctiveness Advisory.</w:t>
      </w:r>
    </w:p>
    <w:p>
      <w:r>
        <w:rPr>
          <w:b w:val="0"/>
        </w:rPr>
        <w:t>Office Action passage: "A mark deemed primarily merely a surname may be registered on the Principal Register under"</w:t>
      </w:r>
    </w:p>
    <w:p>
      <w:r>
        <w:rPr>
          <w:b w:val="0"/>
        </w:rPr>
        <w:t>Strategy outline (suggested by the automated cross-check; verify before relying on it): - Submit the verified five years' substantially exclusive and continuous use statement under 37 C.F.R. §2.41(a)(2) — long use since 1976 makes this route strong - Submit other evidence of acquired distinctiveness under the Converse factors (sales, advertising spend, consumer declarations, surveys, media coverage) - Assert 2(f) in the alternative while maintaining arguments against the underlying 2(e)(4) refusal, weighing that a 2(f) claim concedes the mark is not inherently distinctive - Confirm the mark's use has been 'substantially exclusive' before claiming 2(f), given third-party KITCHEN-formative marks in the record</w:t>
      </w:r>
    </w:p>
    <w:p>
      <w:r>
        <w:rPr>
          <w:b w:val="0"/>
        </w:rPr>
        <w:t>This issue was flagged by an automated LLM cross-check of the Office Action text; the deterministic issue detector did not classify it. Drafting for it is not automated. Verify the issue against the Office Action and prepare the substantive response manually.</w:t>
      </w:r>
    </w:p>
    <w:p>
      <w:pPr>
        <w:pStyle w:val="Heading1"/>
      </w:pPr>
      <w:r>
        <w:t>Supplemental Register Option — Additional Issue Flagged (Not Automated)</w:t>
      </w:r>
    </w:p>
    <w:p>
      <w:r>
        <w:rPr>
          <w:b w:val="0"/>
        </w:rPr>
        <w:t>The Office Action also raises the following issue: Supplemental Register Option.</w:t>
      </w:r>
    </w:p>
    <w:p>
      <w:r>
        <w:rPr>
          <w:b w:val="0"/>
        </w:rPr>
        <w:t>Office Action passage: "If applicant cannot satisfy one of the above, applicant may respond by amending the application to seek"</w:t>
      </w:r>
    </w:p>
    <w:p>
      <w:r>
        <w:rPr>
          <w:b w:val="0"/>
        </w:rPr>
        <w:t>Strategy outline (suggested by the automated cross-check; verify before relying on it): - Amend to the Supplemental Register only as a last resort if the refusal cannot be overcome and 2(f) is unavailable - Weigh Supplemental Register trade-offs: no presumptions of validity/ownership, but preserves blocking effect and ® use - Verify the application has a use basis (or file an amendment to allege use if 1(b)) since Supplemental Register requires use in commerce - Consider seeking Principal Register under 2(f) first given the long use record before conceding to the Supplemental Register</w:t>
      </w:r>
    </w:p>
    <w:p>
      <w:r>
        <w:rPr>
          <w:b w:val="0"/>
        </w:rPr>
        <w:t>This issue was flagged by an automated LLM cross-check of the Office Action text; the deterministic issue detector did not classify it. Drafting for it is not automated. Verify the issue against the Office Action and prepare the substantive response manually.</w:t>
      </w:r>
    </w:p>
    <w:p>
      <w:pPr>
        <w:pStyle w:val="Heading1"/>
      </w:pPr>
      <w:r>
        <w:t>Conclusion</w:t>
      </w:r>
    </w:p>
    <w:p>
      <w:r>
        <w:t>For the foregoing reasons, applicant respectfully requests that the refusal(s) be withdrawn, the requirement(s) be deemed satisfied, and the application be approved for publication.</w:t>
      </w:r>
    </w:p>
    <w:p>
      <w:r>
        <w:br/>
        <w:t>Respectfully submitted,</w:t>
        <w:br/>
        <w:br/>
        <w:t>[ATTORNEY NAME]</w:t>
        <w:br/>
        <w:t>[FIRM]</w:t>
        <w:br/>
        <w:t>[DATE]</w:t>
        <w:br/>
        <w:t>Attorney for Applicant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